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B98" w:rsidRDefault="005E53B5">
      <w:bookmarkStart w:id="0" w:name="_GoBack"/>
      <w:bookmarkEnd w:id="0"/>
      <w:r>
        <w:rPr>
          <w:noProof/>
          <w:lang w:val="en-GB" w:eastAsia="en-GB"/>
        </w:rPr>
        <mc:AlternateContent>
          <mc:Choice Requires="wps">
            <w:drawing>
              <wp:anchor distT="0" distB="0" distL="114300" distR="114300" simplePos="0" relativeHeight="251660288" behindDoc="0" locked="0" layoutInCell="1" allowOverlap="1">
                <wp:simplePos x="0" y="0"/>
                <wp:positionH relativeFrom="column">
                  <wp:posOffset>1842770</wp:posOffset>
                </wp:positionH>
                <wp:positionV relativeFrom="paragraph">
                  <wp:posOffset>0</wp:posOffset>
                </wp:positionV>
                <wp:extent cx="4685030" cy="802640"/>
                <wp:effectExtent l="0" t="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85030" cy="8026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28108D" w:rsidRDefault="0028108D">
                            <w:r>
                              <w:rPr>
                                <w:rFonts w:ascii="Century Gothic" w:hAnsi="Century Gothic"/>
                                <w:color w:val="FFFFFF" w:themeColor="background1"/>
                                <w:sz w:val="66"/>
                                <w:szCs w:val="66"/>
                                <w:lang w:val="en-GB"/>
                              </w:rPr>
                              <w:t>Estate charge 17/18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45.1pt;margin-top:0;width:368.9pt;height:6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" filled="f" stroked="f">
                <v:path arrowok="t"/>
                <v:textbox>
                  <w:txbxContent>
                    <w:p w:rsidR="0028108D" w:rsidRDefault="0028108D">
                      <w:r>
                        <w:rPr>
                          <w:rFonts w:ascii="Century Gothic" w:hAnsi="Century Gothic"/>
                          <w:color w:val="FFFFFF" w:themeColor="background1"/>
                          <w:sz w:val="66"/>
                          <w:szCs w:val="66"/>
                          <w:lang w:val="en-GB"/>
                        </w:rPr>
                        <w:t>Estate charge 17/18</w:t>
                      </w:r>
                    </w:p>
                  </w:txbxContent>
                </v:textbox>
                <w10:wrap type="square"/>
              </v:shape>
            </w:pict>
          </mc:Fallback>
        </mc:AlternateContent>
      </w:r>
      <w:r w:rsidR="000F4B98">
        <w:rPr>
          <w:noProof/>
          <w:lang w:val="en-GB" w:eastAsia="en-GB"/>
        </w:rPr>
        <w:drawing>
          <wp:anchor distT="0" distB="0" distL="114300" distR="114300" simplePos="0" relativeHeight="251659264" behindDoc="1" locked="0" layoutInCell="1" allowOverlap="1">
            <wp:simplePos x="0" y="0"/>
            <wp:positionH relativeFrom="margin">
              <wp:posOffset>-737235</wp:posOffset>
            </wp:positionH>
            <wp:positionV relativeFrom="margin">
              <wp:posOffset>9072245</wp:posOffset>
            </wp:positionV>
            <wp:extent cx="7658943" cy="710701"/>
            <wp:effectExtent l="0" t="0" r="0"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sletter and poster template-02.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658943" cy="710701"/>
                    </a:xfrm>
                    <a:prstGeom prst="rect">
                      <a:avLst/>
                    </a:prstGeom>
                  </pic:spPr>
                </pic:pic>
              </a:graphicData>
            </a:graphic>
          </wp:anchor>
        </w:drawing>
      </w:r>
      <w:r w:rsidR="000F4B98">
        <w:rPr>
          <w:noProof/>
          <w:lang w:val="en-GB" w:eastAsia="en-GB"/>
        </w:rPr>
        <w:drawing>
          <wp:anchor distT="0" distB="0" distL="114300" distR="114300" simplePos="0" relativeHeight="251658240" behindDoc="1" locked="0" layoutInCell="1" allowOverlap="1">
            <wp:simplePos x="0" y="0"/>
            <wp:positionH relativeFrom="column">
              <wp:posOffset>-705485</wp:posOffset>
            </wp:positionH>
            <wp:positionV relativeFrom="paragraph">
              <wp:posOffset>-914400</wp:posOffset>
            </wp:positionV>
            <wp:extent cx="7595525" cy="2174240"/>
            <wp:effectExtent l="0" t="0" r="0" b="1016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sletter and poster template-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620981" cy="2181527"/>
                    </a:xfrm>
                    <a:prstGeom prst="rect">
                      <a:avLst/>
                    </a:prstGeom>
                  </pic:spPr>
                </pic:pic>
              </a:graphicData>
            </a:graphic>
          </wp:anchor>
        </w:drawing>
      </w:r>
    </w:p>
    <w:p w:rsidR="000F4B98" w:rsidRPr="000F4B98" w:rsidRDefault="000F4B98" w:rsidP="000F4B98"/>
    <w:p w:rsidR="000F4B98" w:rsidRPr="000F4B98" w:rsidRDefault="000F4B98" w:rsidP="000F4B98"/>
    <w:p w:rsidR="000F4B98" w:rsidRPr="000F4B98" w:rsidRDefault="000F4B98" w:rsidP="000F4B98"/>
    <w:p w:rsidR="000F4B98" w:rsidRPr="000F4B98" w:rsidRDefault="000F4B98" w:rsidP="000F4B98"/>
    <w:p w:rsidR="000F4B98" w:rsidRPr="000F4B98" w:rsidRDefault="000F4B98" w:rsidP="000F4B98"/>
    <w:p w:rsidR="000F4B98" w:rsidRPr="000F4B98" w:rsidRDefault="000F4B98" w:rsidP="000F4B98"/>
    <w:p w:rsidR="00576746" w:rsidRDefault="005E53B5" w:rsidP="000F4B98"/>
    <w:p w:rsidR="0028108D" w:rsidRPr="00A92C75" w:rsidRDefault="0028108D" w:rsidP="0028108D">
      <w:pPr>
        <w:rPr>
          <w:rFonts w:ascii="Arial" w:hAnsi="Arial" w:cs="Arial"/>
          <w:b/>
        </w:rPr>
      </w:pPr>
    </w:p>
    <w:p w:rsidR="0028108D" w:rsidRPr="00A92C75" w:rsidRDefault="0028108D" w:rsidP="0028108D">
      <w:pPr>
        <w:rPr>
          <w:rFonts w:ascii="Arial" w:hAnsi="Arial" w:cs="Arial"/>
          <w:b/>
        </w:rPr>
      </w:pPr>
    </w:p>
    <w:p w:rsidR="0028108D" w:rsidRPr="00A92C75" w:rsidRDefault="0028108D" w:rsidP="0028108D">
      <w:pPr>
        <w:jc w:val="center"/>
        <w:rPr>
          <w:rFonts w:ascii="Arial" w:hAnsi="Arial" w:cs="Arial"/>
          <w:b/>
        </w:rPr>
      </w:pPr>
      <w:r w:rsidRPr="00A92C75">
        <w:rPr>
          <w:rFonts w:ascii="Arial" w:hAnsi="Arial" w:cs="Arial"/>
          <w:b/>
        </w:rPr>
        <w:t>Loftus Gardens – Estate Charge 2017</w:t>
      </w:r>
      <w:r>
        <w:rPr>
          <w:rFonts w:ascii="Arial" w:hAnsi="Arial" w:cs="Arial"/>
          <w:b/>
        </w:rPr>
        <w:t xml:space="preserve"> </w:t>
      </w:r>
      <w:r w:rsidRPr="00A92C75">
        <w:rPr>
          <w:rFonts w:ascii="Arial" w:hAnsi="Arial" w:cs="Arial"/>
          <w:b/>
        </w:rPr>
        <w:t>/</w:t>
      </w:r>
      <w:r>
        <w:rPr>
          <w:rFonts w:ascii="Arial" w:hAnsi="Arial" w:cs="Arial"/>
          <w:b/>
        </w:rPr>
        <w:t xml:space="preserve"> </w:t>
      </w:r>
      <w:r w:rsidRPr="00A92C75">
        <w:rPr>
          <w:rFonts w:ascii="Arial" w:hAnsi="Arial" w:cs="Arial"/>
          <w:b/>
        </w:rPr>
        <w:t>2018.</w:t>
      </w:r>
    </w:p>
    <w:p w:rsidR="0028108D" w:rsidRPr="00A92C75" w:rsidRDefault="0028108D" w:rsidP="0028108D">
      <w:pPr>
        <w:jc w:val="both"/>
        <w:rPr>
          <w:rFonts w:ascii="Arial" w:hAnsi="Arial" w:cs="Arial"/>
        </w:rPr>
      </w:pPr>
    </w:p>
    <w:p w:rsidR="0028108D" w:rsidRDefault="0028108D" w:rsidP="0028108D">
      <w:pPr>
        <w:jc w:val="both"/>
        <w:rPr>
          <w:rFonts w:ascii="Arial" w:hAnsi="Arial" w:cs="Arial"/>
        </w:rPr>
      </w:pPr>
      <w:r w:rsidRPr="00A92C75">
        <w:rPr>
          <w:rFonts w:ascii="Arial" w:hAnsi="Arial" w:cs="Arial"/>
        </w:rPr>
        <w:t>Every resident has an obligation to pay the estate charge to cover the expenditure within the Management area.  As previously informed the estate charge will be capped at £250.00 during the development of Loftus, which is anticipated to be completed by 2019.</w:t>
      </w:r>
    </w:p>
    <w:p w:rsidR="0028108D" w:rsidRPr="00A92C75" w:rsidRDefault="0028108D" w:rsidP="0028108D">
      <w:pPr>
        <w:jc w:val="both"/>
        <w:rPr>
          <w:rFonts w:ascii="Arial" w:hAnsi="Arial" w:cs="Arial"/>
        </w:rPr>
      </w:pPr>
    </w:p>
    <w:p w:rsidR="0028108D" w:rsidRPr="00A92C75" w:rsidRDefault="0028108D" w:rsidP="0028108D">
      <w:pPr>
        <w:jc w:val="both"/>
        <w:rPr>
          <w:rFonts w:ascii="Arial" w:hAnsi="Arial" w:cs="Arial"/>
        </w:rPr>
      </w:pPr>
      <w:r w:rsidRPr="00A92C75">
        <w:rPr>
          <w:rFonts w:ascii="Arial" w:hAnsi="Arial" w:cs="Arial"/>
        </w:rPr>
        <w:t>The reduced fee reflects the stage of development and the contribution by Charter Housing Association for the properties in development.</w:t>
      </w:r>
    </w:p>
    <w:p w:rsidR="0028108D" w:rsidRDefault="0028108D" w:rsidP="0028108D">
      <w:pPr>
        <w:jc w:val="both"/>
        <w:rPr>
          <w:rFonts w:ascii="Arial" w:hAnsi="Arial" w:cs="Arial"/>
        </w:rPr>
      </w:pPr>
    </w:p>
    <w:p w:rsidR="0028108D" w:rsidRDefault="0028108D" w:rsidP="0028108D">
      <w:pPr>
        <w:jc w:val="both"/>
        <w:rPr>
          <w:rFonts w:ascii="Arial" w:hAnsi="Arial" w:cs="Arial"/>
        </w:rPr>
      </w:pPr>
      <w:r w:rsidRPr="00A92C75">
        <w:rPr>
          <w:rFonts w:ascii="Arial" w:hAnsi="Arial" w:cs="Arial"/>
        </w:rPr>
        <w:t>The Estate Charge covers;</w:t>
      </w:r>
    </w:p>
    <w:p w:rsidR="0028108D" w:rsidRPr="00A92C75" w:rsidRDefault="0028108D" w:rsidP="0028108D">
      <w:pPr>
        <w:jc w:val="both"/>
        <w:rPr>
          <w:rFonts w:ascii="Arial" w:hAnsi="Arial" w:cs="Arial"/>
        </w:rPr>
      </w:pPr>
    </w:p>
    <w:p w:rsidR="0028108D" w:rsidRPr="00A92C75" w:rsidRDefault="0028108D" w:rsidP="0028108D">
      <w:pPr>
        <w:pStyle w:val="ListParagraph"/>
        <w:numPr>
          <w:ilvl w:val="0"/>
          <w:numId w:val="1"/>
        </w:numPr>
        <w:jc w:val="both"/>
        <w:rPr>
          <w:rFonts w:ascii="Arial" w:hAnsi="Arial" w:cs="Arial"/>
          <w:sz w:val="24"/>
          <w:szCs w:val="24"/>
        </w:rPr>
      </w:pPr>
      <w:r w:rsidRPr="00A92C75">
        <w:rPr>
          <w:rFonts w:ascii="Arial" w:hAnsi="Arial" w:cs="Arial"/>
          <w:sz w:val="24"/>
          <w:szCs w:val="24"/>
        </w:rPr>
        <w:t>Employment costs</w:t>
      </w:r>
    </w:p>
    <w:p w:rsidR="0028108D" w:rsidRPr="00A92C75" w:rsidRDefault="0028108D" w:rsidP="0028108D">
      <w:pPr>
        <w:pStyle w:val="ListParagraph"/>
        <w:numPr>
          <w:ilvl w:val="0"/>
          <w:numId w:val="1"/>
        </w:numPr>
        <w:jc w:val="both"/>
        <w:rPr>
          <w:rFonts w:ascii="Arial" w:hAnsi="Arial" w:cs="Arial"/>
          <w:sz w:val="24"/>
          <w:szCs w:val="24"/>
        </w:rPr>
      </w:pPr>
      <w:r w:rsidRPr="00A92C75">
        <w:rPr>
          <w:rFonts w:ascii="Arial" w:hAnsi="Arial" w:cs="Arial"/>
          <w:sz w:val="24"/>
          <w:szCs w:val="24"/>
        </w:rPr>
        <w:t xml:space="preserve">Management charge </w:t>
      </w:r>
    </w:p>
    <w:p w:rsidR="0028108D" w:rsidRPr="00A92C75" w:rsidRDefault="0028108D" w:rsidP="0028108D">
      <w:pPr>
        <w:pStyle w:val="ListParagraph"/>
        <w:numPr>
          <w:ilvl w:val="0"/>
          <w:numId w:val="1"/>
        </w:numPr>
        <w:jc w:val="both"/>
        <w:rPr>
          <w:rFonts w:ascii="Arial" w:hAnsi="Arial" w:cs="Arial"/>
          <w:sz w:val="24"/>
          <w:szCs w:val="24"/>
        </w:rPr>
      </w:pPr>
      <w:r w:rsidRPr="00A92C75">
        <w:rPr>
          <w:rFonts w:ascii="Arial" w:hAnsi="Arial" w:cs="Arial"/>
          <w:sz w:val="24"/>
          <w:szCs w:val="24"/>
        </w:rPr>
        <w:t xml:space="preserve">Equipment </w:t>
      </w:r>
    </w:p>
    <w:p w:rsidR="0028108D" w:rsidRPr="00A92C75" w:rsidRDefault="0028108D" w:rsidP="0028108D">
      <w:pPr>
        <w:pStyle w:val="ListParagraph"/>
        <w:numPr>
          <w:ilvl w:val="0"/>
          <w:numId w:val="1"/>
        </w:numPr>
        <w:jc w:val="both"/>
        <w:rPr>
          <w:rFonts w:ascii="Arial" w:hAnsi="Arial" w:cs="Arial"/>
          <w:sz w:val="24"/>
          <w:szCs w:val="24"/>
        </w:rPr>
      </w:pPr>
      <w:r w:rsidRPr="00A92C75">
        <w:rPr>
          <w:rFonts w:ascii="Arial" w:hAnsi="Arial" w:cs="Arial"/>
          <w:sz w:val="24"/>
          <w:szCs w:val="24"/>
        </w:rPr>
        <w:t xml:space="preserve">Repairs and Maintenance </w:t>
      </w:r>
    </w:p>
    <w:p w:rsidR="0028108D" w:rsidRPr="00A92C75" w:rsidRDefault="0028108D" w:rsidP="0028108D">
      <w:pPr>
        <w:pStyle w:val="ListParagraph"/>
        <w:numPr>
          <w:ilvl w:val="0"/>
          <w:numId w:val="1"/>
        </w:numPr>
        <w:jc w:val="both"/>
        <w:rPr>
          <w:rFonts w:ascii="Arial" w:hAnsi="Arial" w:cs="Arial"/>
          <w:sz w:val="24"/>
          <w:szCs w:val="24"/>
        </w:rPr>
      </w:pPr>
      <w:r w:rsidRPr="00A92C75">
        <w:rPr>
          <w:rFonts w:ascii="Arial" w:hAnsi="Arial" w:cs="Arial"/>
          <w:sz w:val="24"/>
          <w:szCs w:val="24"/>
        </w:rPr>
        <w:t xml:space="preserve">Insurance </w:t>
      </w:r>
    </w:p>
    <w:p w:rsidR="0028108D" w:rsidRPr="00A92C75" w:rsidRDefault="0028108D" w:rsidP="0028108D">
      <w:pPr>
        <w:pStyle w:val="ListParagraph"/>
        <w:numPr>
          <w:ilvl w:val="0"/>
          <w:numId w:val="1"/>
        </w:numPr>
        <w:jc w:val="both"/>
        <w:rPr>
          <w:rFonts w:ascii="Arial" w:hAnsi="Arial" w:cs="Arial"/>
          <w:sz w:val="24"/>
          <w:szCs w:val="24"/>
        </w:rPr>
      </w:pPr>
      <w:r w:rsidRPr="00A92C75">
        <w:rPr>
          <w:rFonts w:ascii="Arial" w:hAnsi="Arial" w:cs="Arial"/>
          <w:sz w:val="24"/>
          <w:szCs w:val="24"/>
        </w:rPr>
        <w:t xml:space="preserve">Risk Assessment </w:t>
      </w:r>
    </w:p>
    <w:p w:rsidR="0028108D" w:rsidRPr="00A92C75" w:rsidRDefault="0028108D" w:rsidP="0028108D">
      <w:pPr>
        <w:pStyle w:val="ListParagraph"/>
        <w:numPr>
          <w:ilvl w:val="0"/>
          <w:numId w:val="1"/>
        </w:numPr>
        <w:jc w:val="both"/>
        <w:rPr>
          <w:rFonts w:ascii="Arial" w:hAnsi="Arial" w:cs="Arial"/>
          <w:sz w:val="24"/>
          <w:szCs w:val="24"/>
        </w:rPr>
      </w:pPr>
      <w:r w:rsidRPr="00A92C75">
        <w:rPr>
          <w:rFonts w:ascii="Arial" w:hAnsi="Arial" w:cs="Arial"/>
          <w:sz w:val="24"/>
          <w:szCs w:val="24"/>
        </w:rPr>
        <w:t>Replacement/sinking fund</w:t>
      </w:r>
    </w:p>
    <w:p w:rsidR="0028108D" w:rsidRPr="00A92C75" w:rsidRDefault="0028108D" w:rsidP="0028108D">
      <w:pPr>
        <w:rPr>
          <w:rFonts w:ascii="Arial" w:hAnsi="Arial" w:cs="Arial"/>
        </w:rPr>
      </w:pPr>
      <w:r w:rsidRPr="00A92C75">
        <w:rPr>
          <w:rFonts w:ascii="Arial" w:hAnsi="Arial" w:cs="Arial"/>
        </w:rPr>
        <w:t xml:space="preserve">Should you have any queries please email me </w:t>
      </w:r>
      <w:hyperlink r:id="rId8" w:history="1">
        <w:r w:rsidRPr="00A92C75">
          <w:rPr>
            <w:rStyle w:val="Hyperlink"/>
            <w:rFonts w:ascii="Arial" w:hAnsi="Arial" w:cs="Arial"/>
          </w:rPr>
          <w:t>Rachel.Lloyd@poblliving.co.uk</w:t>
        </w:r>
      </w:hyperlink>
      <w:r w:rsidRPr="00A92C75">
        <w:rPr>
          <w:rFonts w:ascii="Arial" w:hAnsi="Arial" w:cs="Arial"/>
        </w:rPr>
        <w:t xml:space="preserve"> </w:t>
      </w:r>
    </w:p>
    <w:p w:rsidR="0028108D" w:rsidRPr="00A92C75" w:rsidRDefault="0028108D" w:rsidP="0028108D">
      <w:pPr>
        <w:rPr>
          <w:rFonts w:ascii="Arial" w:hAnsi="Arial" w:cs="Arial"/>
        </w:rPr>
      </w:pPr>
    </w:p>
    <w:p w:rsidR="0028108D" w:rsidRPr="00A92C75" w:rsidRDefault="0028108D" w:rsidP="0028108D">
      <w:pPr>
        <w:rPr>
          <w:rFonts w:ascii="Arial" w:hAnsi="Arial" w:cs="Arial"/>
        </w:rPr>
      </w:pPr>
    </w:p>
    <w:p w:rsidR="0028108D" w:rsidRPr="00A92C75" w:rsidRDefault="0028108D" w:rsidP="0028108D">
      <w:pPr>
        <w:rPr>
          <w:rFonts w:ascii="Arial" w:hAnsi="Arial" w:cs="Arial"/>
        </w:rPr>
      </w:pPr>
    </w:p>
    <w:p w:rsidR="0028108D" w:rsidRPr="00A92C75" w:rsidRDefault="0028108D" w:rsidP="0028108D">
      <w:pPr>
        <w:rPr>
          <w:rFonts w:ascii="Arial" w:hAnsi="Arial" w:cs="Arial"/>
        </w:rPr>
      </w:pPr>
    </w:p>
    <w:p w:rsidR="0028108D" w:rsidRPr="00A92C75" w:rsidRDefault="0028108D" w:rsidP="0028108D">
      <w:pPr>
        <w:rPr>
          <w:rFonts w:ascii="Arial" w:hAnsi="Arial" w:cs="Arial"/>
        </w:rPr>
      </w:pPr>
    </w:p>
    <w:p w:rsidR="0028108D" w:rsidRPr="00A92C75" w:rsidRDefault="0028108D" w:rsidP="0028108D">
      <w:pPr>
        <w:rPr>
          <w:rFonts w:ascii="Arial" w:hAnsi="Arial" w:cs="Arial"/>
        </w:rPr>
      </w:pPr>
    </w:p>
    <w:p w:rsidR="0028108D" w:rsidRPr="00A92C75" w:rsidRDefault="0028108D" w:rsidP="0028108D">
      <w:pPr>
        <w:rPr>
          <w:rFonts w:ascii="Arial" w:hAnsi="Arial" w:cs="Arial"/>
        </w:rPr>
      </w:pPr>
    </w:p>
    <w:p w:rsidR="0028108D" w:rsidRPr="00A92C75" w:rsidRDefault="0028108D" w:rsidP="0028108D">
      <w:pPr>
        <w:rPr>
          <w:rFonts w:ascii="Arial" w:hAnsi="Arial" w:cs="Arial"/>
        </w:rPr>
      </w:pPr>
    </w:p>
    <w:p w:rsidR="0028108D" w:rsidRPr="00A92C75" w:rsidRDefault="0028108D" w:rsidP="0028108D">
      <w:pPr>
        <w:rPr>
          <w:rFonts w:ascii="Arial" w:hAnsi="Arial" w:cs="Arial"/>
        </w:rPr>
      </w:pPr>
    </w:p>
    <w:p w:rsidR="0028108D" w:rsidRPr="00A92C75" w:rsidRDefault="0028108D" w:rsidP="0028108D">
      <w:pPr>
        <w:rPr>
          <w:rFonts w:ascii="Arial" w:hAnsi="Arial" w:cs="Arial"/>
        </w:rPr>
      </w:pPr>
    </w:p>
    <w:p w:rsidR="0028108D" w:rsidRDefault="0028108D" w:rsidP="0028108D">
      <w:pPr>
        <w:rPr>
          <w:rFonts w:ascii="Arial" w:hAnsi="Arial" w:cs="Arial"/>
        </w:rPr>
      </w:pPr>
    </w:p>
    <w:p w:rsidR="0028108D" w:rsidRDefault="0028108D" w:rsidP="0028108D">
      <w:pPr>
        <w:rPr>
          <w:rFonts w:ascii="Arial" w:hAnsi="Arial" w:cs="Arial"/>
        </w:rPr>
      </w:pPr>
    </w:p>
    <w:p w:rsidR="0028108D" w:rsidRDefault="0028108D" w:rsidP="0028108D">
      <w:pPr>
        <w:rPr>
          <w:rFonts w:ascii="Arial" w:hAnsi="Arial" w:cs="Arial"/>
        </w:rPr>
      </w:pPr>
    </w:p>
    <w:p w:rsidR="0028108D" w:rsidRDefault="0028108D" w:rsidP="0028108D">
      <w:pPr>
        <w:rPr>
          <w:rFonts w:ascii="Arial" w:hAnsi="Arial" w:cs="Arial"/>
        </w:rPr>
      </w:pPr>
    </w:p>
    <w:p w:rsidR="0028108D" w:rsidRDefault="0028108D" w:rsidP="0028108D">
      <w:pPr>
        <w:rPr>
          <w:rFonts w:ascii="Arial" w:hAnsi="Arial" w:cs="Arial"/>
        </w:rPr>
      </w:pPr>
    </w:p>
    <w:p w:rsidR="0028108D" w:rsidRDefault="0028108D" w:rsidP="0028108D">
      <w:pPr>
        <w:rPr>
          <w:rFonts w:ascii="Arial" w:hAnsi="Arial" w:cs="Arial"/>
        </w:rPr>
      </w:pPr>
    </w:p>
    <w:p w:rsidR="0028108D" w:rsidRDefault="0028108D" w:rsidP="0028108D">
      <w:pPr>
        <w:rPr>
          <w:rFonts w:ascii="Arial" w:hAnsi="Arial" w:cs="Arial"/>
        </w:rPr>
      </w:pPr>
    </w:p>
    <w:p w:rsidR="0028108D" w:rsidRPr="00A92C75" w:rsidRDefault="0028108D" w:rsidP="0028108D">
      <w:pPr>
        <w:rPr>
          <w:rFonts w:ascii="Arial" w:hAnsi="Arial" w:cs="Arial"/>
        </w:rPr>
      </w:pPr>
    </w:p>
    <w:p w:rsidR="0028108D" w:rsidRPr="00A92C75" w:rsidRDefault="0028108D" w:rsidP="0028108D">
      <w:pPr>
        <w:shd w:val="clear" w:color="auto" w:fill="FFFFFF"/>
        <w:spacing w:after="120"/>
        <w:jc w:val="center"/>
        <w:rPr>
          <w:rFonts w:ascii="Arial" w:hAnsi="Arial" w:cs="Arial"/>
          <w:b/>
          <w:color w:val="000000"/>
          <w:u w:val="single"/>
        </w:rPr>
      </w:pPr>
      <w:r w:rsidRPr="00A92C75">
        <w:rPr>
          <w:rFonts w:ascii="Arial" w:hAnsi="Arial" w:cs="Arial"/>
          <w:b/>
          <w:color w:val="000000"/>
          <w:u w:val="single"/>
        </w:rPr>
        <w:lastRenderedPageBreak/>
        <w:t xml:space="preserve">Estate charge Budget Summary 2017/2018 </w:t>
      </w:r>
    </w:p>
    <w:p w:rsidR="0028108D" w:rsidRPr="00A92C75" w:rsidRDefault="0028108D" w:rsidP="0028108D">
      <w:pPr>
        <w:shd w:val="clear" w:color="auto" w:fill="FFFFFF"/>
        <w:spacing w:after="120"/>
        <w:jc w:val="center"/>
        <w:rPr>
          <w:rFonts w:ascii="Arial" w:hAnsi="Arial" w:cs="Arial"/>
          <w:b/>
          <w:color w:val="000000"/>
        </w:rPr>
      </w:pPr>
    </w:p>
    <w:p w:rsidR="0028108D" w:rsidRPr="00A92C75" w:rsidRDefault="0028108D" w:rsidP="0028108D">
      <w:pPr>
        <w:shd w:val="clear" w:color="auto" w:fill="FFFFFF"/>
        <w:spacing w:after="120"/>
        <w:jc w:val="both"/>
        <w:rPr>
          <w:rFonts w:ascii="Arial" w:hAnsi="Arial" w:cs="Arial"/>
          <w:color w:val="000000"/>
        </w:rPr>
      </w:pPr>
      <w:r w:rsidRPr="00A92C75">
        <w:rPr>
          <w:rFonts w:ascii="Arial" w:hAnsi="Arial" w:cs="Arial"/>
          <w:color w:val="000000"/>
        </w:rPr>
        <w:t xml:space="preserve">During the building phase the costs of managing the public open space will be greater than the total estate charge collected. This is partly due to the number of properties completed the higher costs for establishing the landscaped areas.  </w:t>
      </w:r>
    </w:p>
    <w:p w:rsidR="0028108D" w:rsidRPr="00A92C75" w:rsidRDefault="0028108D" w:rsidP="0028108D">
      <w:pPr>
        <w:shd w:val="clear" w:color="auto" w:fill="FFFFFF"/>
        <w:spacing w:after="120"/>
        <w:jc w:val="both"/>
        <w:rPr>
          <w:rFonts w:ascii="Arial" w:hAnsi="Arial" w:cs="Arial"/>
          <w:color w:val="000000"/>
        </w:rPr>
      </w:pPr>
      <w:r w:rsidRPr="00A92C75">
        <w:rPr>
          <w:rFonts w:ascii="Arial" w:hAnsi="Arial" w:cs="Arial"/>
          <w:color w:val="000000"/>
        </w:rPr>
        <w:t>During the first year of development the repairs and any replacement costs will be meet by the Developer under the Defect period. The shortfall in the estate charge will be met by the Pobl Group and will also cover the Estate Charge for any unoccupied homes.</w:t>
      </w:r>
    </w:p>
    <w:p w:rsidR="0028108D" w:rsidRPr="00A92C75" w:rsidRDefault="0028108D" w:rsidP="0028108D">
      <w:pPr>
        <w:shd w:val="clear" w:color="auto" w:fill="FFFFFF"/>
        <w:spacing w:after="120"/>
        <w:jc w:val="both"/>
        <w:rPr>
          <w:rFonts w:ascii="Arial" w:hAnsi="Arial" w:cs="Arial"/>
          <w:color w:val="000000"/>
        </w:rPr>
      </w:pPr>
      <w:r w:rsidRPr="00A92C75">
        <w:rPr>
          <w:rFonts w:ascii="Arial" w:hAnsi="Arial" w:cs="Arial"/>
          <w:color w:val="000000"/>
        </w:rPr>
        <w:t>There will be 250 homes at Loftus Garden Village once the site has been completed.</w:t>
      </w:r>
    </w:p>
    <w:p w:rsidR="0028108D" w:rsidRPr="00A92C75" w:rsidRDefault="0028108D" w:rsidP="0028108D">
      <w:pPr>
        <w:shd w:val="clear" w:color="auto" w:fill="FFFFFF"/>
        <w:spacing w:after="120"/>
        <w:jc w:val="center"/>
        <w:rPr>
          <w:rFonts w:ascii="Arial" w:hAnsi="Arial" w:cs="Arial"/>
          <w:b/>
          <w:color w:val="000000"/>
          <w:u w:val="single"/>
        </w:rPr>
      </w:pPr>
    </w:p>
    <w:p w:rsidR="0028108D" w:rsidRPr="00A92C75" w:rsidRDefault="0028108D" w:rsidP="0028108D">
      <w:pPr>
        <w:shd w:val="clear" w:color="auto" w:fill="FFFFFF"/>
        <w:spacing w:after="120"/>
        <w:jc w:val="center"/>
        <w:rPr>
          <w:rFonts w:ascii="Arial" w:hAnsi="Arial" w:cs="Arial"/>
          <w:b/>
          <w:color w:val="000000"/>
          <w:u w:val="single"/>
        </w:rPr>
      </w:pPr>
      <w:r w:rsidRPr="00A92C75">
        <w:rPr>
          <w:rFonts w:ascii="Arial" w:hAnsi="Arial" w:cs="Arial"/>
          <w:b/>
          <w:color w:val="000000"/>
          <w:u w:val="single"/>
        </w:rPr>
        <w:t>Summary of estimated costs for Loftus Gardens</w:t>
      </w:r>
    </w:p>
    <w:p w:rsidR="0028108D" w:rsidRPr="00A92C75" w:rsidRDefault="0028108D" w:rsidP="0028108D">
      <w:pPr>
        <w:shd w:val="clear" w:color="auto" w:fill="FFFFFF"/>
        <w:spacing w:after="120"/>
        <w:rPr>
          <w:rFonts w:ascii="Arial" w:hAnsi="Arial" w:cs="Arial"/>
          <w:color w:val="000000"/>
        </w:rPr>
      </w:pPr>
    </w:p>
    <w:tbl>
      <w:tblPr>
        <w:tblStyle w:val="TableGrid"/>
        <w:tblW w:w="0" w:type="auto"/>
        <w:tblLook w:val="04A0" w:firstRow="1" w:lastRow="0" w:firstColumn="1" w:lastColumn="0" w:noHBand="0" w:noVBand="1"/>
      </w:tblPr>
      <w:tblGrid>
        <w:gridCol w:w="4621"/>
        <w:gridCol w:w="4621"/>
      </w:tblGrid>
      <w:tr w:rsidR="0028108D" w:rsidRPr="00A92C75" w:rsidTr="00762795">
        <w:tc>
          <w:tcPr>
            <w:tcW w:w="4621" w:type="dxa"/>
          </w:tcPr>
          <w:p w:rsidR="0028108D" w:rsidRPr="00A92C75" w:rsidRDefault="0028108D" w:rsidP="00762795">
            <w:pPr>
              <w:spacing w:after="120"/>
              <w:jc w:val="center"/>
              <w:rPr>
                <w:rFonts w:ascii="Arial" w:hAnsi="Arial" w:cs="Arial"/>
                <w:b/>
                <w:color w:val="000000"/>
                <w:sz w:val="24"/>
                <w:szCs w:val="24"/>
              </w:rPr>
            </w:pPr>
            <w:r w:rsidRPr="00A92C75">
              <w:rPr>
                <w:rFonts w:ascii="Arial" w:hAnsi="Arial" w:cs="Arial"/>
                <w:b/>
                <w:color w:val="000000"/>
                <w:sz w:val="24"/>
                <w:szCs w:val="24"/>
              </w:rPr>
              <w:t>Cost centre</w:t>
            </w:r>
          </w:p>
        </w:tc>
        <w:tc>
          <w:tcPr>
            <w:tcW w:w="4621" w:type="dxa"/>
          </w:tcPr>
          <w:p w:rsidR="0028108D" w:rsidRPr="00A92C75" w:rsidRDefault="0028108D" w:rsidP="00762795">
            <w:pPr>
              <w:spacing w:after="120"/>
              <w:jc w:val="center"/>
              <w:rPr>
                <w:rFonts w:ascii="Arial" w:hAnsi="Arial" w:cs="Arial"/>
                <w:b/>
                <w:color w:val="000000"/>
                <w:sz w:val="24"/>
                <w:szCs w:val="24"/>
              </w:rPr>
            </w:pPr>
            <w:r w:rsidRPr="00A92C75">
              <w:rPr>
                <w:rFonts w:ascii="Arial" w:hAnsi="Arial" w:cs="Arial"/>
                <w:b/>
                <w:color w:val="000000"/>
                <w:sz w:val="24"/>
                <w:szCs w:val="24"/>
              </w:rPr>
              <w:t xml:space="preserve">Budget Estimate  </w:t>
            </w:r>
          </w:p>
        </w:tc>
      </w:tr>
      <w:tr w:rsidR="0028108D" w:rsidRPr="00A92C75" w:rsidTr="00762795">
        <w:tc>
          <w:tcPr>
            <w:tcW w:w="4621" w:type="dxa"/>
          </w:tcPr>
          <w:p w:rsidR="0028108D" w:rsidRPr="00A92C75" w:rsidRDefault="0028108D" w:rsidP="00762795">
            <w:pPr>
              <w:spacing w:after="120"/>
              <w:jc w:val="center"/>
              <w:rPr>
                <w:rFonts w:ascii="Arial" w:hAnsi="Arial" w:cs="Arial"/>
                <w:color w:val="000000"/>
                <w:sz w:val="24"/>
                <w:szCs w:val="24"/>
              </w:rPr>
            </w:pPr>
            <w:r w:rsidRPr="00A92C75">
              <w:rPr>
                <w:rFonts w:ascii="Arial" w:hAnsi="Arial" w:cs="Arial"/>
                <w:color w:val="000000"/>
                <w:sz w:val="24"/>
                <w:szCs w:val="24"/>
              </w:rPr>
              <w:t xml:space="preserve">Salary/Employment costs  </w:t>
            </w:r>
          </w:p>
        </w:tc>
        <w:tc>
          <w:tcPr>
            <w:tcW w:w="4621" w:type="dxa"/>
          </w:tcPr>
          <w:p w:rsidR="0028108D" w:rsidRPr="00A92C75" w:rsidRDefault="0028108D" w:rsidP="00762795">
            <w:pPr>
              <w:spacing w:after="120"/>
              <w:jc w:val="center"/>
              <w:rPr>
                <w:rFonts w:ascii="Arial" w:hAnsi="Arial" w:cs="Arial"/>
                <w:color w:val="000000"/>
                <w:sz w:val="24"/>
                <w:szCs w:val="24"/>
              </w:rPr>
            </w:pPr>
            <w:r w:rsidRPr="00A92C75">
              <w:rPr>
                <w:rFonts w:ascii="Arial" w:hAnsi="Arial" w:cs="Arial"/>
                <w:color w:val="000000"/>
                <w:sz w:val="24"/>
                <w:szCs w:val="24"/>
              </w:rPr>
              <w:t>£40,880.00</w:t>
            </w:r>
          </w:p>
        </w:tc>
      </w:tr>
      <w:tr w:rsidR="0028108D" w:rsidRPr="00A92C75" w:rsidTr="00762795">
        <w:tc>
          <w:tcPr>
            <w:tcW w:w="4621" w:type="dxa"/>
          </w:tcPr>
          <w:p w:rsidR="0028108D" w:rsidRPr="00A92C75" w:rsidRDefault="0028108D" w:rsidP="00762795">
            <w:pPr>
              <w:spacing w:after="120"/>
              <w:jc w:val="center"/>
              <w:rPr>
                <w:rFonts w:ascii="Arial" w:hAnsi="Arial" w:cs="Arial"/>
                <w:color w:val="000000"/>
                <w:sz w:val="24"/>
                <w:szCs w:val="24"/>
              </w:rPr>
            </w:pPr>
            <w:r w:rsidRPr="00A92C75">
              <w:rPr>
                <w:rFonts w:ascii="Arial" w:hAnsi="Arial" w:cs="Arial"/>
                <w:color w:val="000000"/>
                <w:sz w:val="24"/>
                <w:szCs w:val="24"/>
              </w:rPr>
              <w:t xml:space="preserve">Equipment/Motor Vehicle  </w:t>
            </w:r>
          </w:p>
        </w:tc>
        <w:tc>
          <w:tcPr>
            <w:tcW w:w="4621" w:type="dxa"/>
          </w:tcPr>
          <w:p w:rsidR="0028108D" w:rsidRPr="00A92C75" w:rsidRDefault="0028108D" w:rsidP="00762795">
            <w:pPr>
              <w:spacing w:after="120"/>
              <w:jc w:val="center"/>
              <w:rPr>
                <w:rFonts w:ascii="Arial" w:hAnsi="Arial" w:cs="Arial"/>
                <w:color w:val="000000"/>
                <w:sz w:val="24"/>
                <w:szCs w:val="24"/>
              </w:rPr>
            </w:pPr>
            <w:r w:rsidRPr="00A92C75">
              <w:rPr>
                <w:rFonts w:ascii="Arial" w:hAnsi="Arial" w:cs="Arial"/>
                <w:color w:val="000000"/>
                <w:sz w:val="24"/>
                <w:szCs w:val="24"/>
              </w:rPr>
              <w:t>£9,936.00</w:t>
            </w:r>
          </w:p>
        </w:tc>
      </w:tr>
      <w:tr w:rsidR="0028108D" w:rsidRPr="00A92C75" w:rsidTr="00762795">
        <w:tc>
          <w:tcPr>
            <w:tcW w:w="4621" w:type="dxa"/>
          </w:tcPr>
          <w:p w:rsidR="0028108D" w:rsidRPr="00A92C75" w:rsidRDefault="0028108D" w:rsidP="00762795">
            <w:pPr>
              <w:spacing w:after="120"/>
              <w:jc w:val="center"/>
              <w:rPr>
                <w:rFonts w:ascii="Arial" w:hAnsi="Arial" w:cs="Arial"/>
                <w:color w:val="000000"/>
                <w:sz w:val="24"/>
                <w:szCs w:val="24"/>
              </w:rPr>
            </w:pPr>
            <w:r w:rsidRPr="00A92C75">
              <w:rPr>
                <w:rFonts w:ascii="Arial" w:hAnsi="Arial" w:cs="Arial"/>
                <w:color w:val="000000"/>
                <w:sz w:val="24"/>
                <w:szCs w:val="24"/>
              </w:rPr>
              <w:t>Sinking Fund (Replacement of equipment)</w:t>
            </w:r>
          </w:p>
        </w:tc>
        <w:tc>
          <w:tcPr>
            <w:tcW w:w="4621" w:type="dxa"/>
          </w:tcPr>
          <w:p w:rsidR="0028108D" w:rsidRPr="00A92C75" w:rsidRDefault="0028108D" w:rsidP="00762795">
            <w:pPr>
              <w:spacing w:after="120"/>
              <w:jc w:val="center"/>
              <w:rPr>
                <w:rFonts w:ascii="Arial" w:hAnsi="Arial" w:cs="Arial"/>
                <w:color w:val="000000"/>
                <w:sz w:val="24"/>
                <w:szCs w:val="24"/>
              </w:rPr>
            </w:pPr>
            <w:r w:rsidRPr="00A92C75">
              <w:rPr>
                <w:rFonts w:ascii="Arial" w:hAnsi="Arial" w:cs="Arial"/>
                <w:color w:val="000000"/>
                <w:sz w:val="24"/>
                <w:szCs w:val="24"/>
              </w:rPr>
              <w:t>£2,5000</w:t>
            </w:r>
          </w:p>
        </w:tc>
      </w:tr>
      <w:tr w:rsidR="0028108D" w:rsidRPr="00A92C75" w:rsidTr="00762795">
        <w:tc>
          <w:tcPr>
            <w:tcW w:w="4621" w:type="dxa"/>
          </w:tcPr>
          <w:p w:rsidR="0028108D" w:rsidRPr="00A92C75" w:rsidRDefault="0028108D" w:rsidP="00762795">
            <w:pPr>
              <w:spacing w:after="120"/>
              <w:jc w:val="center"/>
              <w:rPr>
                <w:rFonts w:ascii="Arial" w:hAnsi="Arial" w:cs="Arial"/>
                <w:color w:val="000000"/>
                <w:sz w:val="24"/>
                <w:szCs w:val="24"/>
              </w:rPr>
            </w:pPr>
            <w:r w:rsidRPr="00A92C75">
              <w:rPr>
                <w:rFonts w:ascii="Arial" w:hAnsi="Arial" w:cs="Arial"/>
                <w:color w:val="000000"/>
                <w:sz w:val="24"/>
                <w:szCs w:val="24"/>
              </w:rPr>
              <w:t>External Repairs/Maintenance</w:t>
            </w:r>
          </w:p>
        </w:tc>
        <w:tc>
          <w:tcPr>
            <w:tcW w:w="4621" w:type="dxa"/>
          </w:tcPr>
          <w:p w:rsidR="0028108D" w:rsidRPr="00A92C75" w:rsidRDefault="0028108D" w:rsidP="00762795">
            <w:pPr>
              <w:spacing w:after="120"/>
              <w:jc w:val="center"/>
              <w:rPr>
                <w:rFonts w:ascii="Arial" w:hAnsi="Arial" w:cs="Arial"/>
                <w:color w:val="000000"/>
                <w:sz w:val="24"/>
                <w:szCs w:val="24"/>
              </w:rPr>
            </w:pPr>
            <w:r w:rsidRPr="00A92C75">
              <w:rPr>
                <w:rFonts w:ascii="Arial" w:hAnsi="Arial" w:cs="Arial"/>
                <w:color w:val="000000"/>
                <w:sz w:val="24"/>
                <w:szCs w:val="24"/>
              </w:rPr>
              <w:t>----</w:t>
            </w:r>
          </w:p>
        </w:tc>
      </w:tr>
      <w:tr w:rsidR="0028108D" w:rsidRPr="00A92C75" w:rsidTr="00762795">
        <w:tc>
          <w:tcPr>
            <w:tcW w:w="4621" w:type="dxa"/>
          </w:tcPr>
          <w:p w:rsidR="0028108D" w:rsidRPr="00A92C75" w:rsidRDefault="0028108D" w:rsidP="00762795">
            <w:pPr>
              <w:spacing w:after="120"/>
              <w:jc w:val="center"/>
              <w:rPr>
                <w:rFonts w:ascii="Arial" w:hAnsi="Arial" w:cs="Arial"/>
                <w:color w:val="000000"/>
                <w:sz w:val="24"/>
                <w:szCs w:val="24"/>
              </w:rPr>
            </w:pPr>
            <w:r w:rsidRPr="00A92C75">
              <w:rPr>
                <w:rFonts w:ascii="Arial" w:hAnsi="Arial" w:cs="Arial"/>
                <w:color w:val="000000"/>
                <w:sz w:val="24"/>
                <w:szCs w:val="24"/>
              </w:rPr>
              <w:t xml:space="preserve">Inspection/Risk Assessment </w:t>
            </w:r>
          </w:p>
        </w:tc>
        <w:tc>
          <w:tcPr>
            <w:tcW w:w="4621" w:type="dxa"/>
          </w:tcPr>
          <w:p w:rsidR="0028108D" w:rsidRPr="00A92C75" w:rsidRDefault="0028108D" w:rsidP="00762795">
            <w:pPr>
              <w:spacing w:after="120"/>
              <w:jc w:val="center"/>
              <w:rPr>
                <w:rFonts w:ascii="Arial" w:hAnsi="Arial" w:cs="Arial"/>
                <w:color w:val="000000"/>
                <w:sz w:val="24"/>
                <w:szCs w:val="24"/>
              </w:rPr>
            </w:pPr>
            <w:r w:rsidRPr="00A92C75">
              <w:rPr>
                <w:rFonts w:ascii="Arial" w:hAnsi="Arial" w:cs="Arial"/>
                <w:color w:val="000000"/>
                <w:sz w:val="24"/>
                <w:szCs w:val="24"/>
              </w:rPr>
              <w:t>£1,200.00</w:t>
            </w:r>
          </w:p>
        </w:tc>
      </w:tr>
      <w:tr w:rsidR="0028108D" w:rsidRPr="00A92C75" w:rsidTr="00762795">
        <w:trPr>
          <w:trHeight w:val="265"/>
        </w:trPr>
        <w:tc>
          <w:tcPr>
            <w:tcW w:w="4621" w:type="dxa"/>
          </w:tcPr>
          <w:p w:rsidR="0028108D" w:rsidRPr="00A92C75" w:rsidRDefault="0028108D" w:rsidP="00762795">
            <w:pPr>
              <w:spacing w:after="120"/>
              <w:jc w:val="center"/>
              <w:rPr>
                <w:rFonts w:ascii="Arial" w:hAnsi="Arial" w:cs="Arial"/>
                <w:color w:val="000000"/>
                <w:sz w:val="24"/>
                <w:szCs w:val="24"/>
              </w:rPr>
            </w:pPr>
            <w:r w:rsidRPr="00A92C75">
              <w:rPr>
                <w:rFonts w:ascii="Arial" w:hAnsi="Arial" w:cs="Arial"/>
                <w:color w:val="000000"/>
                <w:sz w:val="24"/>
                <w:szCs w:val="24"/>
              </w:rPr>
              <w:t xml:space="preserve">Insurance </w:t>
            </w:r>
          </w:p>
        </w:tc>
        <w:tc>
          <w:tcPr>
            <w:tcW w:w="4621" w:type="dxa"/>
          </w:tcPr>
          <w:p w:rsidR="0028108D" w:rsidRPr="00A92C75" w:rsidRDefault="0028108D" w:rsidP="00762795">
            <w:pPr>
              <w:spacing w:after="120"/>
              <w:jc w:val="center"/>
              <w:rPr>
                <w:rFonts w:ascii="Arial" w:hAnsi="Arial" w:cs="Arial"/>
                <w:color w:val="000000"/>
                <w:sz w:val="24"/>
                <w:szCs w:val="24"/>
              </w:rPr>
            </w:pPr>
            <w:r w:rsidRPr="00A92C75">
              <w:rPr>
                <w:rFonts w:ascii="Arial" w:hAnsi="Arial" w:cs="Arial"/>
                <w:color w:val="000000"/>
                <w:sz w:val="24"/>
                <w:szCs w:val="24"/>
              </w:rPr>
              <w:t>£2,500.00</w:t>
            </w:r>
          </w:p>
        </w:tc>
      </w:tr>
      <w:tr w:rsidR="0028108D" w:rsidRPr="00A92C75" w:rsidTr="00762795">
        <w:trPr>
          <w:trHeight w:val="265"/>
        </w:trPr>
        <w:tc>
          <w:tcPr>
            <w:tcW w:w="4621" w:type="dxa"/>
          </w:tcPr>
          <w:p w:rsidR="0028108D" w:rsidRPr="00A92C75" w:rsidRDefault="0028108D" w:rsidP="00762795">
            <w:pPr>
              <w:spacing w:after="120"/>
              <w:jc w:val="center"/>
              <w:rPr>
                <w:rFonts w:ascii="Arial" w:hAnsi="Arial" w:cs="Arial"/>
                <w:color w:val="000000"/>
                <w:sz w:val="24"/>
                <w:szCs w:val="24"/>
              </w:rPr>
            </w:pPr>
            <w:r w:rsidRPr="00A92C75">
              <w:rPr>
                <w:rFonts w:ascii="Arial" w:hAnsi="Arial" w:cs="Arial"/>
                <w:color w:val="000000"/>
                <w:sz w:val="24"/>
                <w:szCs w:val="24"/>
              </w:rPr>
              <w:t xml:space="preserve">Cyclical Maintenance </w:t>
            </w:r>
          </w:p>
        </w:tc>
        <w:tc>
          <w:tcPr>
            <w:tcW w:w="4621" w:type="dxa"/>
          </w:tcPr>
          <w:p w:rsidR="0028108D" w:rsidRPr="00A92C75" w:rsidRDefault="0028108D" w:rsidP="00762795">
            <w:pPr>
              <w:spacing w:after="120"/>
              <w:jc w:val="center"/>
              <w:rPr>
                <w:rFonts w:ascii="Arial" w:hAnsi="Arial" w:cs="Arial"/>
                <w:color w:val="000000"/>
                <w:sz w:val="24"/>
                <w:szCs w:val="24"/>
              </w:rPr>
            </w:pPr>
            <w:r w:rsidRPr="00A92C75">
              <w:rPr>
                <w:rFonts w:ascii="Arial" w:hAnsi="Arial" w:cs="Arial"/>
                <w:color w:val="000000"/>
                <w:sz w:val="24"/>
                <w:szCs w:val="24"/>
              </w:rPr>
              <w:t>-------</w:t>
            </w:r>
          </w:p>
        </w:tc>
      </w:tr>
      <w:tr w:rsidR="0028108D" w:rsidRPr="00A92C75" w:rsidTr="00762795">
        <w:trPr>
          <w:trHeight w:val="265"/>
        </w:trPr>
        <w:tc>
          <w:tcPr>
            <w:tcW w:w="4621" w:type="dxa"/>
          </w:tcPr>
          <w:p w:rsidR="0028108D" w:rsidRPr="00A92C75" w:rsidRDefault="0028108D" w:rsidP="00762795">
            <w:pPr>
              <w:spacing w:after="120"/>
              <w:jc w:val="center"/>
              <w:rPr>
                <w:rFonts w:ascii="Arial" w:hAnsi="Arial" w:cs="Arial"/>
                <w:color w:val="000000"/>
                <w:sz w:val="24"/>
                <w:szCs w:val="24"/>
              </w:rPr>
            </w:pPr>
            <w:r w:rsidRPr="00A92C75">
              <w:rPr>
                <w:rFonts w:ascii="Arial" w:hAnsi="Arial" w:cs="Arial"/>
                <w:color w:val="000000"/>
                <w:sz w:val="24"/>
                <w:szCs w:val="24"/>
              </w:rPr>
              <w:t xml:space="preserve">Landlord Lighting </w:t>
            </w:r>
          </w:p>
        </w:tc>
        <w:tc>
          <w:tcPr>
            <w:tcW w:w="4621" w:type="dxa"/>
          </w:tcPr>
          <w:p w:rsidR="0028108D" w:rsidRPr="00A92C75" w:rsidRDefault="0028108D" w:rsidP="00762795">
            <w:pPr>
              <w:spacing w:after="120"/>
              <w:jc w:val="center"/>
              <w:rPr>
                <w:rFonts w:ascii="Arial" w:hAnsi="Arial" w:cs="Arial"/>
                <w:color w:val="000000"/>
                <w:sz w:val="24"/>
                <w:szCs w:val="24"/>
              </w:rPr>
            </w:pPr>
            <w:r w:rsidRPr="00A92C75">
              <w:rPr>
                <w:rFonts w:ascii="Arial" w:hAnsi="Arial" w:cs="Arial"/>
                <w:color w:val="000000"/>
                <w:sz w:val="24"/>
                <w:szCs w:val="24"/>
              </w:rPr>
              <w:t>-------</w:t>
            </w:r>
          </w:p>
        </w:tc>
      </w:tr>
      <w:tr w:rsidR="0028108D" w:rsidRPr="00A92C75" w:rsidTr="00762795">
        <w:trPr>
          <w:trHeight w:val="265"/>
        </w:trPr>
        <w:tc>
          <w:tcPr>
            <w:tcW w:w="4621" w:type="dxa"/>
          </w:tcPr>
          <w:p w:rsidR="0028108D" w:rsidRPr="00A92C75" w:rsidRDefault="0028108D" w:rsidP="00762795">
            <w:pPr>
              <w:spacing w:after="120"/>
              <w:jc w:val="center"/>
              <w:rPr>
                <w:rFonts w:ascii="Arial" w:hAnsi="Arial" w:cs="Arial"/>
                <w:b/>
                <w:color w:val="000000"/>
                <w:sz w:val="24"/>
                <w:szCs w:val="24"/>
              </w:rPr>
            </w:pPr>
            <w:r w:rsidRPr="00A92C75">
              <w:rPr>
                <w:rFonts w:ascii="Arial" w:hAnsi="Arial" w:cs="Arial"/>
                <w:b/>
                <w:color w:val="000000"/>
                <w:sz w:val="24"/>
                <w:szCs w:val="24"/>
              </w:rPr>
              <w:t xml:space="preserve">Total </w:t>
            </w:r>
          </w:p>
        </w:tc>
        <w:tc>
          <w:tcPr>
            <w:tcW w:w="4621" w:type="dxa"/>
          </w:tcPr>
          <w:p w:rsidR="0028108D" w:rsidRPr="00A92C75" w:rsidRDefault="0028108D" w:rsidP="00762795">
            <w:pPr>
              <w:spacing w:after="120"/>
              <w:jc w:val="center"/>
              <w:rPr>
                <w:rFonts w:ascii="Arial" w:hAnsi="Arial" w:cs="Arial"/>
                <w:b/>
                <w:color w:val="000000"/>
                <w:sz w:val="24"/>
                <w:szCs w:val="24"/>
              </w:rPr>
            </w:pPr>
            <w:r w:rsidRPr="00A92C75">
              <w:rPr>
                <w:rFonts w:ascii="Arial" w:hAnsi="Arial" w:cs="Arial"/>
                <w:b/>
                <w:color w:val="000000"/>
                <w:sz w:val="24"/>
                <w:szCs w:val="24"/>
              </w:rPr>
              <w:t>£57,016</w:t>
            </w:r>
          </w:p>
        </w:tc>
      </w:tr>
      <w:tr w:rsidR="0028108D" w:rsidRPr="00A92C75" w:rsidTr="00762795">
        <w:trPr>
          <w:trHeight w:val="265"/>
        </w:trPr>
        <w:tc>
          <w:tcPr>
            <w:tcW w:w="4621" w:type="dxa"/>
          </w:tcPr>
          <w:p w:rsidR="0028108D" w:rsidRPr="00A92C75" w:rsidRDefault="0028108D" w:rsidP="00762795">
            <w:pPr>
              <w:spacing w:after="120"/>
              <w:jc w:val="center"/>
              <w:rPr>
                <w:rFonts w:ascii="Arial" w:hAnsi="Arial" w:cs="Arial"/>
                <w:b/>
                <w:color w:val="000000"/>
                <w:sz w:val="24"/>
                <w:szCs w:val="24"/>
              </w:rPr>
            </w:pPr>
            <w:r w:rsidRPr="00A92C75">
              <w:rPr>
                <w:rFonts w:ascii="Arial" w:hAnsi="Arial" w:cs="Arial"/>
                <w:b/>
                <w:color w:val="000000"/>
                <w:sz w:val="24"/>
                <w:szCs w:val="24"/>
              </w:rPr>
              <w:t xml:space="preserve">Property cost with 250 homes </w:t>
            </w:r>
          </w:p>
        </w:tc>
        <w:tc>
          <w:tcPr>
            <w:tcW w:w="4621" w:type="dxa"/>
          </w:tcPr>
          <w:p w:rsidR="0028108D" w:rsidRPr="00A92C75" w:rsidRDefault="0028108D" w:rsidP="00762795">
            <w:pPr>
              <w:spacing w:after="120"/>
              <w:jc w:val="center"/>
              <w:rPr>
                <w:rFonts w:ascii="Arial" w:hAnsi="Arial" w:cs="Arial"/>
                <w:b/>
                <w:color w:val="000000"/>
                <w:sz w:val="24"/>
                <w:szCs w:val="24"/>
              </w:rPr>
            </w:pPr>
            <w:r w:rsidRPr="00A92C75">
              <w:rPr>
                <w:rFonts w:ascii="Arial" w:hAnsi="Arial" w:cs="Arial"/>
                <w:b/>
                <w:color w:val="000000"/>
                <w:sz w:val="24"/>
                <w:szCs w:val="24"/>
              </w:rPr>
              <w:t>£228.06</w:t>
            </w:r>
          </w:p>
        </w:tc>
      </w:tr>
      <w:tr w:rsidR="0028108D" w:rsidRPr="00A92C75" w:rsidTr="00762795">
        <w:trPr>
          <w:trHeight w:val="265"/>
        </w:trPr>
        <w:tc>
          <w:tcPr>
            <w:tcW w:w="4621" w:type="dxa"/>
          </w:tcPr>
          <w:p w:rsidR="0028108D" w:rsidRPr="00A92C75" w:rsidRDefault="0028108D" w:rsidP="00762795">
            <w:pPr>
              <w:spacing w:after="120"/>
              <w:jc w:val="center"/>
              <w:rPr>
                <w:rFonts w:ascii="Arial" w:hAnsi="Arial" w:cs="Arial"/>
                <w:b/>
                <w:color w:val="000000"/>
                <w:sz w:val="24"/>
                <w:szCs w:val="24"/>
              </w:rPr>
            </w:pPr>
            <w:r w:rsidRPr="00A92C75">
              <w:rPr>
                <w:rFonts w:ascii="Arial" w:hAnsi="Arial" w:cs="Arial"/>
                <w:b/>
                <w:color w:val="000000"/>
                <w:sz w:val="24"/>
                <w:szCs w:val="24"/>
              </w:rPr>
              <w:t>Property 2017/2018</w:t>
            </w:r>
          </w:p>
        </w:tc>
        <w:tc>
          <w:tcPr>
            <w:tcW w:w="4621" w:type="dxa"/>
          </w:tcPr>
          <w:p w:rsidR="0028108D" w:rsidRPr="00A92C75" w:rsidRDefault="0028108D" w:rsidP="00762795">
            <w:pPr>
              <w:spacing w:after="120"/>
              <w:jc w:val="center"/>
              <w:rPr>
                <w:rFonts w:ascii="Arial" w:hAnsi="Arial" w:cs="Arial"/>
                <w:b/>
                <w:color w:val="000000"/>
                <w:sz w:val="24"/>
                <w:szCs w:val="24"/>
              </w:rPr>
            </w:pPr>
            <w:r w:rsidRPr="00A92C75">
              <w:rPr>
                <w:rFonts w:ascii="Arial" w:hAnsi="Arial" w:cs="Arial"/>
                <w:b/>
                <w:color w:val="000000"/>
                <w:sz w:val="24"/>
                <w:szCs w:val="24"/>
              </w:rPr>
              <w:t>£175.00</w:t>
            </w:r>
          </w:p>
        </w:tc>
      </w:tr>
    </w:tbl>
    <w:p w:rsidR="0028108D" w:rsidRPr="00A92C75" w:rsidRDefault="0028108D" w:rsidP="0028108D">
      <w:pPr>
        <w:shd w:val="clear" w:color="auto" w:fill="FFFFFF"/>
        <w:spacing w:after="120"/>
        <w:jc w:val="center"/>
        <w:rPr>
          <w:rFonts w:ascii="Arial" w:hAnsi="Arial" w:cs="Arial"/>
          <w:b/>
          <w:color w:val="000000"/>
        </w:rPr>
      </w:pPr>
    </w:p>
    <w:p w:rsidR="0028108D" w:rsidRPr="00A92C75" w:rsidRDefault="0028108D" w:rsidP="0028108D">
      <w:pPr>
        <w:shd w:val="clear" w:color="auto" w:fill="FFFFFF"/>
        <w:spacing w:after="120"/>
        <w:rPr>
          <w:rFonts w:ascii="Arial" w:hAnsi="Arial" w:cs="Arial"/>
          <w:b/>
          <w:color w:val="000000"/>
        </w:rPr>
      </w:pPr>
      <w:r w:rsidRPr="00A92C75">
        <w:rPr>
          <w:rFonts w:ascii="Arial" w:hAnsi="Arial" w:cs="Arial"/>
          <w:b/>
          <w:color w:val="000000"/>
        </w:rPr>
        <w:t xml:space="preserve">Notes: </w:t>
      </w:r>
    </w:p>
    <w:p w:rsidR="0028108D" w:rsidRPr="00A92C75" w:rsidRDefault="0028108D" w:rsidP="0028108D">
      <w:pPr>
        <w:pStyle w:val="ListParagraph"/>
        <w:numPr>
          <w:ilvl w:val="0"/>
          <w:numId w:val="2"/>
        </w:numPr>
        <w:shd w:val="clear" w:color="auto" w:fill="FFFFFF"/>
        <w:spacing w:after="120"/>
        <w:rPr>
          <w:rFonts w:ascii="Arial" w:hAnsi="Arial" w:cs="Arial"/>
          <w:color w:val="000000"/>
          <w:sz w:val="24"/>
          <w:szCs w:val="24"/>
        </w:rPr>
      </w:pPr>
      <w:r w:rsidRPr="00A92C75">
        <w:rPr>
          <w:rFonts w:ascii="Arial" w:hAnsi="Arial" w:cs="Arial"/>
          <w:color w:val="000000"/>
          <w:sz w:val="24"/>
          <w:szCs w:val="24"/>
        </w:rPr>
        <w:t>Repairs and Maintenance are covered by Defect period in first year of handover.</w:t>
      </w:r>
    </w:p>
    <w:p w:rsidR="0028108D" w:rsidRPr="00A92C75" w:rsidRDefault="0028108D" w:rsidP="0028108D">
      <w:pPr>
        <w:pStyle w:val="ListParagraph"/>
        <w:numPr>
          <w:ilvl w:val="0"/>
          <w:numId w:val="2"/>
        </w:numPr>
        <w:shd w:val="clear" w:color="auto" w:fill="FFFFFF"/>
        <w:spacing w:after="120"/>
        <w:rPr>
          <w:rFonts w:ascii="Arial" w:hAnsi="Arial" w:cs="Arial"/>
          <w:color w:val="000000"/>
          <w:sz w:val="24"/>
          <w:szCs w:val="24"/>
        </w:rPr>
      </w:pPr>
      <w:r w:rsidRPr="00A92C75">
        <w:rPr>
          <w:rFonts w:ascii="Arial" w:hAnsi="Arial" w:cs="Arial"/>
          <w:color w:val="000000"/>
          <w:sz w:val="24"/>
          <w:szCs w:val="24"/>
        </w:rPr>
        <w:t xml:space="preserve">Landlord lighting has not been handed over to Pobl Living. </w:t>
      </w:r>
    </w:p>
    <w:p w:rsidR="0028108D" w:rsidRPr="00A92C75" w:rsidRDefault="0028108D" w:rsidP="0028108D">
      <w:pPr>
        <w:pStyle w:val="ListParagraph"/>
        <w:numPr>
          <w:ilvl w:val="0"/>
          <w:numId w:val="2"/>
        </w:numPr>
        <w:shd w:val="clear" w:color="auto" w:fill="FFFFFF"/>
        <w:spacing w:after="120"/>
        <w:rPr>
          <w:rFonts w:ascii="Arial" w:hAnsi="Arial" w:cs="Arial"/>
          <w:color w:val="000000"/>
          <w:sz w:val="24"/>
          <w:szCs w:val="24"/>
        </w:rPr>
      </w:pPr>
      <w:r w:rsidRPr="00A92C75">
        <w:rPr>
          <w:rFonts w:ascii="Arial" w:hAnsi="Arial" w:cs="Arial"/>
          <w:color w:val="000000"/>
          <w:sz w:val="24"/>
          <w:szCs w:val="24"/>
        </w:rPr>
        <w:t>There is no cyclical maintenance planned for years 1-5.</w:t>
      </w:r>
    </w:p>
    <w:p w:rsidR="0028108D" w:rsidRPr="00A92C75" w:rsidRDefault="0028108D" w:rsidP="0028108D">
      <w:pPr>
        <w:pStyle w:val="ListParagraph"/>
        <w:numPr>
          <w:ilvl w:val="0"/>
          <w:numId w:val="2"/>
        </w:numPr>
        <w:shd w:val="clear" w:color="auto" w:fill="FFFFFF"/>
        <w:spacing w:after="120"/>
        <w:rPr>
          <w:rFonts w:ascii="Arial" w:hAnsi="Arial" w:cs="Arial"/>
          <w:color w:val="000000"/>
          <w:sz w:val="24"/>
          <w:szCs w:val="24"/>
        </w:rPr>
      </w:pPr>
      <w:r w:rsidRPr="00A92C75">
        <w:rPr>
          <w:rFonts w:ascii="Arial" w:hAnsi="Arial" w:cs="Arial"/>
          <w:color w:val="000000"/>
          <w:sz w:val="24"/>
          <w:szCs w:val="24"/>
        </w:rPr>
        <w:t>The overall costs will increase as more of the site is handed over, and additional areas for management are opened for residents to use.</w:t>
      </w:r>
    </w:p>
    <w:p w:rsidR="0028108D" w:rsidRPr="00A92C75" w:rsidRDefault="0028108D" w:rsidP="0028108D">
      <w:pPr>
        <w:pStyle w:val="ListParagraph"/>
        <w:numPr>
          <w:ilvl w:val="0"/>
          <w:numId w:val="2"/>
        </w:numPr>
        <w:shd w:val="clear" w:color="auto" w:fill="FFFFFF"/>
        <w:spacing w:after="120"/>
        <w:rPr>
          <w:rFonts w:ascii="Arial" w:hAnsi="Arial" w:cs="Arial"/>
          <w:color w:val="000000"/>
          <w:sz w:val="24"/>
          <w:szCs w:val="24"/>
        </w:rPr>
      </w:pPr>
      <w:r w:rsidRPr="00A92C75">
        <w:rPr>
          <w:rFonts w:ascii="Arial" w:hAnsi="Arial" w:cs="Arial"/>
          <w:color w:val="000000"/>
          <w:sz w:val="24"/>
          <w:szCs w:val="24"/>
        </w:rPr>
        <w:t xml:space="preserve">Pobl Group will cover the deficit in the service charge collected from residents and the final cost in 17/18.  </w:t>
      </w:r>
    </w:p>
    <w:p w:rsidR="008F098A" w:rsidRPr="008F098A" w:rsidRDefault="008F098A">
      <w:pPr>
        <w:rPr>
          <w:rFonts w:ascii="Century Gothic" w:hAnsi="Century Gothic"/>
          <w:color w:val="262626" w:themeColor="text1" w:themeTint="D9"/>
        </w:rPr>
      </w:pPr>
    </w:p>
    <w:p w:rsidR="008F098A" w:rsidRPr="008F098A" w:rsidRDefault="008F098A">
      <w:pPr>
        <w:rPr>
          <w:rFonts w:ascii="Century Gothic" w:hAnsi="Century Gothic"/>
          <w:color w:val="262626" w:themeColor="text1" w:themeTint="D9"/>
        </w:rPr>
      </w:pPr>
    </w:p>
    <w:p w:rsidR="000F4B98" w:rsidRPr="000F4B98" w:rsidRDefault="000F4B98" w:rsidP="000F4B98">
      <w:r>
        <w:rPr>
          <w:noProof/>
          <w:lang w:val="en-GB" w:eastAsia="en-GB"/>
        </w:rPr>
        <w:drawing>
          <wp:anchor distT="0" distB="0" distL="114300" distR="114300" simplePos="0" relativeHeight="251662336" behindDoc="1" locked="0" layoutInCell="1" allowOverlap="1">
            <wp:simplePos x="0" y="0"/>
            <wp:positionH relativeFrom="margin">
              <wp:posOffset>-737235</wp:posOffset>
            </wp:positionH>
            <wp:positionV relativeFrom="margin">
              <wp:posOffset>9068435</wp:posOffset>
            </wp:positionV>
            <wp:extent cx="7658943" cy="710701"/>
            <wp:effectExtent l="0" t="0" r="0" b="63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sletter and poster template-02.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658943" cy="710701"/>
                    </a:xfrm>
                    <a:prstGeom prst="rect">
                      <a:avLst/>
                    </a:prstGeom>
                  </pic:spPr>
                </pic:pic>
              </a:graphicData>
            </a:graphic>
          </wp:anchor>
        </w:drawing>
      </w:r>
    </w:p>
    <w:sectPr w:rsidR="000F4B98" w:rsidRPr="000F4B98" w:rsidSect="000F4B98">
      <w:pgSz w:w="11900" w:h="16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altName w:val="Calibri"/>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F317A"/>
    <w:multiLevelType w:val="hybridMultilevel"/>
    <w:tmpl w:val="9B42C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0BE1DD5"/>
    <w:multiLevelType w:val="hybridMultilevel"/>
    <w:tmpl w:val="A4E46C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B98"/>
    <w:rsid w:val="00017567"/>
    <w:rsid w:val="000F4B98"/>
    <w:rsid w:val="0028108D"/>
    <w:rsid w:val="0033507F"/>
    <w:rsid w:val="00374237"/>
    <w:rsid w:val="0058744D"/>
    <w:rsid w:val="005E53B5"/>
    <w:rsid w:val="00710122"/>
    <w:rsid w:val="008F098A"/>
    <w:rsid w:val="00CA164A"/>
    <w:rsid w:val="00D923CF"/>
    <w:rsid w:val="00EF4FA1"/>
    <w:rsid w:val="00FE3C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4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10122"/>
    <w:rPr>
      <w:sz w:val="22"/>
      <w:szCs w:val="22"/>
      <w:lang w:val="en-GB"/>
    </w:rPr>
  </w:style>
  <w:style w:type="character" w:styleId="Hyperlink">
    <w:name w:val="Hyperlink"/>
    <w:basedOn w:val="DefaultParagraphFont"/>
    <w:uiPriority w:val="99"/>
    <w:unhideWhenUsed/>
    <w:rsid w:val="0028108D"/>
    <w:rPr>
      <w:color w:val="0563C1" w:themeColor="hyperlink"/>
      <w:u w:val="single"/>
    </w:rPr>
  </w:style>
  <w:style w:type="paragraph" w:styleId="ListParagraph">
    <w:name w:val="List Paragraph"/>
    <w:basedOn w:val="Normal"/>
    <w:uiPriority w:val="34"/>
    <w:qFormat/>
    <w:rsid w:val="0028108D"/>
    <w:pPr>
      <w:spacing w:after="200" w:line="276" w:lineRule="auto"/>
      <w:ind w:left="720"/>
      <w:contextualSpacing/>
    </w:pPr>
    <w:rPr>
      <w:sz w:val="22"/>
      <w:szCs w:val="22"/>
      <w:lang w:val="en-GB"/>
    </w:rPr>
  </w:style>
  <w:style w:type="table" w:styleId="TableGrid">
    <w:name w:val="Table Grid"/>
    <w:basedOn w:val="TableNormal"/>
    <w:uiPriority w:val="59"/>
    <w:rsid w:val="0028108D"/>
    <w:rPr>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4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10122"/>
    <w:rPr>
      <w:sz w:val="22"/>
      <w:szCs w:val="22"/>
      <w:lang w:val="en-GB"/>
    </w:rPr>
  </w:style>
  <w:style w:type="character" w:styleId="Hyperlink">
    <w:name w:val="Hyperlink"/>
    <w:basedOn w:val="DefaultParagraphFont"/>
    <w:uiPriority w:val="99"/>
    <w:unhideWhenUsed/>
    <w:rsid w:val="0028108D"/>
    <w:rPr>
      <w:color w:val="0563C1" w:themeColor="hyperlink"/>
      <w:u w:val="single"/>
    </w:rPr>
  </w:style>
  <w:style w:type="paragraph" w:styleId="ListParagraph">
    <w:name w:val="List Paragraph"/>
    <w:basedOn w:val="Normal"/>
    <w:uiPriority w:val="34"/>
    <w:qFormat/>
    <w:rsid w:val="0028108D"/>
    <w:pPr>
      <w:spacing w:after="200" w:line="276" w:lineRule="auto"/>
      <w:ind w:left="720"/>
      <w:contextualSpacing/>
    </w:pPr>
    <w:rPr>
      <w:sz w:val="22"/>
      <w:szCs w:val="22"/>
      <w:lang w:val="en-GB"/>
    </w:rPr>
  </w:style>
  <w:style w:type="table" w:styleId="TableGrid">
    <w:name w:val="Table Grid"/>
    <w:basedOn w:val="TableNormal"/>
    <w:uiPriority w:val="59"/>
    <w:rsid w:val="0028108D"/>
    <w:rPr>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chel.Lloyd@poblliving.co.uk" TargetMode="Externa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339</Words>
  <Characters>1938</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Cook</dc:creator>
  <cp:lastModifiedBy>Read Jo</cp:lastModifiedBy>
  <cp:revision>2</cp:revision>
  <dcterms:created xsi:type="dcterms:W3CDTF">2017-11-15T11:42:00Z</dcterms:created>
  <dcterms:modified xsi:type="dcterms:W3CDTF">2017-11-15T11:42:00Z</dcterms:modified>
</cp:coreProperties>
</file>